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pBdr>
          <w:bottom w:val="single" w:sz="2" w:space="1" w:color="000000"/>
        </w:pBdr>
        <w:spacing w:lineRule="atLeast" w:line="141" w:before="0" w:after="0"/>
        <w:jc w:val="left"/>
        <w:rPr/>
      </w:pPr>
      <w:bookmarkStart w:id="0" w:name="d439211d6k.htm"/>
      <w:bookmarkStart w:id="1" w:name="ksd439211d6k"/>
      <w:bookmarkEnd w:id="0"/>
      <w:bookmarkEnd w:id="1"/>
      <w:r>
        <w:rPr/>
        <w:t> </w:t>
      </w:r>
    </w:p>
    <w:p>
      <w:pPr>
        <w:pStyle w:val="TextBody"/>
        <w:pBdr>
          <w:bottom w:val="single" w:sz="2" w:space="1" w:color="000000"/>
        </w:pBdr>
        <w:spacing w:lineRule="atLeast" w:line="141" w:before="0" w:after="40"/>
        <w:jc w:val="left"/>
        <w:rPr/>
      </w:pPr>
      <w:r>
        <w:rPr/>
        <w:t> </w:t>
      </w:r>
    </w:p>
    <w:p>
      <w:pPr>
        <w:pStyle w:val="TextBody"/>
        <w:spacing w:before="80" w:after="0"/>
        <w:jc w:val="center"/>
        <w:rPr>
          <w:rFonts w:ascii="Times New Roman" w:hAnsi="Times New Roman"/>
          <w:b/>
          <w:sz w:val="36"/>
        </w:rPr>
      </w:pPr>
      <w:r>
        <w:rPr>
          <w:rFonts w:ascii="Times New Roman" w:hAnsi="Times New Roman"/>
          <w:b/>
          <w:sz w:val="36"/>
        </w:rPr>
        <w:t xml:space="preserve">UNITED STATES </w:t>
      </w:r>
    </w:p>
    <w:p>
      <w:pPr>
        <w:pStyle w:val="TextBody"/>
        <w:spacing w:before="0" w:after="0"/>
        <w:jc w:val="center"/>
        <w:rPr>
          <w:rFonts w:ascii="Times New Roman" w:hAnsi="Times New Roman"/>
          <w:b/>
          <w:sz w:val="36"/>
        </w:rPr>
      </w:pPr>
      <w:r>
        <w:rPr>
          <w:rFonts w:ascii="Times New Roman" w:hAnsi="Times New Roman"/>
          <w:b/>
          <w:sz w:val="36"/>
        </w:rPr>
        <w:t xml:space="preserve">SECURITIES AND EXCHANGE COMMISSION </w:t>
      </w:r>
    </w:p>
    <w:p>
      <w:pPr>
        <w:pStyle w:val="TextBody"/>
        <w:spacing w:before="0" w:after="0"/>
        <w:jc w:val="center"/>
        <w:rPr>
          <w:rFonts w:ascii="Times New Roman" w:hAnsi="Times New Roman"/>
          <w:b/>
          <w:sz w:val="24"/>
        </w:rPr>
      </w:pPr>
      <w:r>
        <w:rPr>
          <w:rFonts w:ascii="Times New Roman" w:hAnsi="Times New Roman"/>
          <w:b/>
          <w:sz w:val="24"/>
        </w:rPr>
        <w:t xml:space="preserve">WASHINGTON D.C. 20549 </w:t>
      </w:r>
    </w:p>
    <w:p>
      <w:pPr>
        <w:pStyle w:val="TextBody"/>
        <w:spacing w:before="0" w:after="0"/>
        <w:jc w:val="left"/>
        <w:rPr/>
      </w:pPr>
      <w:r>
        <w:rPr/>
        <w:t> </w:t>
      </w:r>
    </w:p>
    <w:p>
      <w:pPr>
        <w:pStyle w:val="TextBody"/>
        <w:pBdr>
          <w:bottom w:val="single" w:sz="8" w:space="1" w:color="000000"/>
        </w:pBdr>
        <w:spacing w:lineRule="atLeast" w:line="141" w:before="0" w:after="40"/>
        <w:jc w:val="center"/>
        <w:rPr/>
      </w:pPr>
      <w:r>
        <w:rPr/>
        <w:t> </w:t>
      </w:r>
    </w:p>
    <w:p>
      <w:pPr>
        <w:pStyle w:val="TextBody"/>
        <w:spacing w:before="240" w:after="0"/>
        <w:jc w:val="center"/>
        <w:rPr>
          <w:rFonts w:ascii="Times New Roman" w:hAnsi="Times New Roman"/>
          <w:b/>
          <w:sz w:val="36"/>
        </w:rPr>
      </w:pPr>
      <w:r>
        <w:rPr>
          <w:rFonts w:ascii="Times New Roman" w:hAnsi="Times New Roman"/>
          <w:b/>
          <w:sz w:val="36"/>
        </w:rPr>
        <w:t xml:space="preserve">FORM 6-K </w:t>
      </w:r>
    </w:p>
    <w:p>
      <w:pPr>
        <w:pStyle w:val="TextBody"/>
        <w:spacing w:before="0" w:after="0"/>
        <w:jc w:val="left"/>
        <w:rPr/>
      </w:pPr>
      <w:r>
        <w:rPr/>
        <w:t> </w:t>
      </w:r>
    </w:p>
    <w:p>
      <w:pPr>
        <w:pStyle w:val="TextBody"/>
        <w:pBdr>
          <w:bottom w:val="single" w:sz="8" w:space="1" w:color="000000"/>
        </w:pBdr>
        <w:spacing w:lineRule="atLeast" w:line="141" w:before="0" w:after="40"/>
        <w:jc w:val="center"/>
        <w:rPr/>
      </w:pPr>
      <w:r>
        <w:rPr/>
        <w:t> </w:t>
      </w:r>
    </w:p>
    <w:p>
      <w:pPr>
        <w:pStyle w:val="TextBody"/>
        <w:spacing w:before="240" w:after="0"/>
        <w:jc w:val="center"/>
        <w:rPr>
          <w:rFonts w:ascii="Times New Roman" w:hAnsi="Times New Roman"/>
          <w:b/>
          <w:sz w:val="24"/>
        </w:rPr>
      </w:pPr>
      <w:r>
        <w:rPr>
          <w:rFonts w:ascii="Times New Roman" w:hAnsi="Times New Roman"/>
          <w:b/>
          <w:sz w:val="24"/>
        </w:rPr>
        <w:t xml:space="preserve">REPORT OF FOREIGN PRIVATE ISSUER </w:t>
      </w:r>
    </w:p>
    <w:p>
      <w:pPr>
        <w:pStyle w:val="TextBody"/>
        <w:spacing w:before="0" w:after="0"/>
        <w:jc w:val="center"/>
        <w:rPr>
          <w:rFonts w:ascii="Times New Roman" w:hAnsi="Times New Roman"/>
          <w:b/>
          <w:sz w:val="24"/>
        </w:rPr>
      </w:pPr>
      <w:r>
        <w:rPr>
          <w:rFonts w:ascii="Times New Roman" w:hAnsi="Times New Roman"/>
          <w:b/>
          <w:sz w:val="24"/>
        </w:rPr>
        <w:t xml:space="preserve">PURSUANT TO RULE 13a-16 OR 15d-16 </w:t>
      </w:r>
    </w:p>
    <w:p>
      <w:pPr>
        <w:pStyle w:val="TextBody"/>
        <w:spacing w:before="0" w:after="0"/>
        <w:jc w:val="center"/>
        <w:rPr>
          <w:rFonts w:ascii="Times New Roman" w:hAnsi="Times New Roman"/>
          <w:b/>
          <w:sz w:val="24"/>
        </w:rPr>
      </w:pPr>
      <w:r>
        <w:rPr>
          <w:rFonts w:ascii="Times New Roman" w:hAnsi="Times New Roman"/>
          <w:b/>
          <w:sz w:val="24"/>
        </w:rPr>
        <w:t xml:space="preserve">OF THE SECURITIES EXCHANGE ACT OF 1934 </w:t>
      </w:r>
    </w:p>
    <w:p>
      <w:pPr>
        <w:pStyle w:val="TextBody"/>
        <w:spacing w:before="240" w:after="0"/>
        <w:jc w:val="center"/>
        <w:rPr>
          <w:rFonts w:ascii="Times New Roman" w:hAnsi="Times New Roman"/>
          <w:b/>
          <w:sz w:val="20"/>
        </w:rPr>
      </w:pPr>
      <w:r>
        <w:rPr>
          <w:rFonts w:ascii="Times New Roman" w:hAnsi="Times New Roman"/>
          <w:b/>
          <w:sz w:val="20"/>
        </w:rPr>
        <w:t xml:space="preserve">For the month of April 2023 </w:t>
      </w:r>
    </w:p>
    <w:p>
      <w:pPr>
        <w:pStyle w:val="TextBody"/>
        <w:spacing w:before="0" w:after="0"/>
        <w:jc w:val="left"/>
        <w:rPr/>
      </w:pPr>
      <w:r>
        <w:rPr/>
        <w:t> </w:t>
      </w:r>
    </w:p>
    <w:p>
      <w:pPr>
        <w:pStyle w:val="TextBody"/>
        <w:pBdr>
          <w:bottom w:val="single" w:sz="8" w:space="1" w:color="000000"/>
        </w:pBdr>
        <w:spacing w:lineRule="atLeast" w:line="141" w:before="0" w:after="40"/>
        <w:jc w:val="center"/>
        <w:rPr/>
      </w:pPr>
      <w:r>
        <w:rPr/>
        <w:t> </w:t>
      </w:r>
    </w:p>
    <w:p>
      <w:pPr>
        <w:pStyle w:val="TextBody"/>
        <w:spacing w:before="240" w:after="0"/>
        <w:jc w:val="center"/>
        <w:rPr>
          <w:rFonts w:ascii="Times New Roman" w:hAnsi="Times New Roman"/>
          <w:b/>
          <w:sz w:val="20"/>
        </w:rPr>
      </w:pPr>
      <w:r>
        <w:rPr>
          <w:rFonts w:ascii="Times New Roman" w:hAnsi="Times New Roman"/>
          <w:b/>
          <w:sz w:val="20"/>
        </w:rPr>
        <w:t xml:space="preserve">Commission File Number: 001-38590 </w:t>
      </w:r>
    </w:p>
    <w:p>
      <w:pPr>
        <w:pStyle w:val="TextBody"/>
        <w:spacing w:before="0" w:after="0"/>
        <w:jc w:val="left"/>
        <w:rPr/>
      </w:pPr>
      <w:r>
        <w:rPr/>
        <w:t> </w:t>
      </w:r>
    </w:p>
    <w:p>
      <w:pPr>
        <w:pStyle w:val="TextBody"/>
        <w:pBdr>
          <w:bottom w:val="single" w:sz="8" w:space="1" w:color="000000"/>
        </w:pBdr>
        <w:spacing w:lineRule="atLeast" w:line="141" w:before="0" w:after="40"/>
        <w:jc w:val="center"/>
        <w:rPr/>
      </w:pPr>
      <w:r>
        <w:rPr/>
        <w:t> </w:t>
      </w:r>
    </w:p>
    <w:p>
      <w:pPr>
        <w:pStyle w:val="TextBody"/>
        <w:spacing w:before="240" w:after="0"/>
        <w:jc w:val="center"/>
        <w:rPr>
          <w:rFonts w:ascii="Times New Roman" w:hAnsi="Times New Roman"/>
          <w:b/>
          <w:sz w:val="48"/>
        </w:rPr>
      </w:pPr>
      <w:r>
        <w:rPr>
          <w:rFonts w:ascii="Times New Roman" w:hAnsi="Times New Roman"/>
          <w:b/>
          <w:sz w:val="48"/>
        </w:rPr>
        <w:t xml:space="preserve">CANGO INC. </w:t>
      </w:r>
    </w:p>
    <w:p>
      <w:pPr>
        <w:pStyle w:val="TextBody"/>
        <w:spacing w:before="0" w:after="0"/>
        <w:jc w:val="left"/>
        <w:rPr/>
      </w:pPr>
      <w:r>
        <w:rPr/>
        <w:t> </w:t>
      </w:r>
    </w:p>
    <w:p>
      <w:pPr>
        <w:pStyle w:val="TextBody"/>
        <w:pBdr>
          <w:bottom w:val="single" w:sz="8" w:space="1" w:color="000000"/>
        </w:pBdr>
        <w:spacing w:lineRule="atLeast" w:line="141" w:before="0" w:after="40"/>
        <w:jc w:val="center"/>
        <w:rPr/>
      </w:pPr>
      <w:r>
        <w:rPr/>
        <w:t> </w:t>
      </w:r>
    </w:p>
    <w:p>
      <w:pPr>
        <w:pStyle w:val="TextBody"/>
        <w:spacing w:before="240" w:after="0"/>
        <w:jc w:val="center"/>
        <w:rPr>
          <w:rFonts w:ascii="Times New Roman" w:hAnsi="Times New Roman"/>
          <w:b/>
          <w:sz w:val="20"/>
        </w:rPr>
      </w:pPr>
      <w:r>
        <w:rPr>
          <w:rFonts w:ascii="Times New Roman" w:hAnsi="Times New Roman"/>
          <w:b/>
          <w:sz w:val="20"/>
        </w:rPr>
        <w:t xml:space="preserve">8F, New Bund Oriental Plaza II </w:t>
      </w:r>
    </w:p>
    <w:p>
      <w:pPr>
        <w:pStyle w:val="TextBody"/>
        <w:spacing w:before="0" w:after="0"/>
        <w:jc w:val="center"/>
        <w:rPr>
          <w:rFonts w:ascii="Times New Roman" w:hAnsi="Times New Roman"/>
          <w:b/>
          <w:sz w:val="20"/>
        </w:rPr>
      </w:pPr>
      <w:r>
        <w:rPr>
          <w:rFonts w:ascii="Times New Roman" w:hAnsi="Times New Roman"/>
          <w:b/>
          <w:sz w:val="20"/>
        </w:rPr>
        <w:t xml:space="preserve">556 West Haiyang Road, Pudong New Area </w:t>
      </w:r>
    </w:p>
    <w:p>
      <w:pPr>
        <w:pStyle w:val="TextBody"/>
        <w:spacing w:before="0" w:after="0"/>
        <w:jc w:val="center"/>
        <w:rPr>
          <w:rFonts w:ascii="Times New Roman" w:hAnsi="Times New Roman"/>
          <w:b/>
          <w:sz w:val="20"/>
        </w:rPr>
      </w:pPr>
      <w:r>
        <w:rPr>
          <w:rFonts w:ascii="Times New Roman" w:hAnsi="Times New Roman"/>
          <w:b/>
          <w:sz w:val="20"/>
        </w:rPr>
        <w:t xml:space="preserve">Shanghai 200124 </w:t>
      </w:r>
    </w:p>
    <w:p>
      <w:pPr>
        <w:pStyle w:val="TextBody"/>
        <w:spacing w:before="0" w:after="0"/>
        <w:jc w:val="center"/>
        <w:rPr>
          <w:rFonts w:ascii="Times New Roman" w:hAnsi="Times New Roman"/>
          <w:b/>
          <w:sz w:val="20"/>
        </w:rPr>
      </w:pPr>
      <w:r>
        <w:rPr>
          <w:rFonts w:ascii="Times New Roman" w:hAnsi="Times New Roman"/>
          <w:b/>
          <w:sz w:val="20"/>
        </w:rPr>
        <w:t xml:space="preserve">Peoples Republic of China </w:t>
      </w:r>
    </w:p>
    <w:p>
      <w:pPr>
        <w:pStyle w:val="TextBody"/>
        <w:spacing w:before="0" w:after="0"/>
        <w:jc w:val="center"/>
        <w:rPr>
          <w:rFonts w:ascii="Times New Roman" w:hAnsi="Times New Roman"/>
          <w:b/>
          <w:sz w:val="16"/>
        </w:rPr>
      </w:pPr>
      <w:r>
        <w:rPr>
          <w:rFonts w:ascii="Times New Roman" w:hAnsi="Times New Roman"/>
          <w:b/>
          <w:sz w:val="16"/>
        </w:rPr>
        <w:t xml:space="preserve">(Address of principal executive offices) </w:t>
      </w:r>
    </w:p>
    <w:p>
      <w:pPr>
        <w:pStyle w:val="TextBody"/>
        <w:spacing w:before="0" w:after="0"/>
        <w:jc w:val="left"/>
        <w:rPr/>
      </w:pPr>
      <w:r>
        <w:rPr/>
        <w:t> </w:t>
      </w:r>
    </w:p>
    <w:p>
      <w:pPr>
        <w:pStyle w:val="TextBody"/>
        <w:pBdr>
          <w:bottom w:val="single" w:sz="8" w:space="1" w:color="000000"/>
        </w:pBdr>
        <w:spacing w:lineRule="atLeast" w:line="141" w:before="0" w:after="40"/>
        <w:jc w:val="center"/>
        <w:rPr/>
      </w:pPr>
      <w:r>
        <w:rPr/>
        <w:t> </w:t>
      </w:r>
    </w:p>
    <w:p>
      <w:pPr>
        <w:pStyle w:val="TextBody"/>
        <w:spacing w:before="240" w:after="0"/>
        <w:jc w:val="left"/>
        <w:rPr>
          <w:rFonts w:ascii="Times New Roman" w:hAnsi="Times New Roman"/>
          <w:sz w:val="20"/>
        </w:rPr>
      </w:pPr>
      <w:r>
        <w:rPr>
          <w:rFonts w:ascii="Times New Roman" w:hAnsi="Times New Roman"/>
          <w:sz w:val="20"/>
        </w:rPr>
        <w:t xml:space="preserve">Indicate by check mark whether the registrant files or will file annual reports under cover Form 20-F or Form 40-F. </w:t>
      </w:r>
    </w:p>
    <w:p>
      <w:pPr>
        <w:pStyle w:val="TextBody"/>
        <w:spacing w:before="240" w:after="0"/>
        <w:jc w:val="center"/>
        <w:rPr>
          <w:rFonts w:ascii="Times New Roman" w:hAnsi="Times New Roman"/>
          <w:sz w:val="20"/>
        </w:rPr>
      </w:pPr>
      <w:r>
        <w:rPr>
          <w:rFonts w:ascii="Times New Roman" w:hAnsi="Times New Roman"/>
          <w:sz w:val="20"/>
        </w:rPr>
        <w:t xml:space="preserve">Form 20-F  ☒             Form 40-F  ☐ </w:t>
      </w:r>
    </w:p>
    <w:p>
      <w:pPr>
        <w:pStyle w:val="TextBody"/>
        <w:spacing w:before="240" w:after="0"/>
        <w:jc w:val="left"/>
        <w:rPr>
          <w:rFonts w:ascii="Times New Roman" w:hAnsi="Times New Roman"/>
          <w:sz w:val="20"/>
        </w:rPr>
      </w:pPr>
      <w:r>
        <w:rPr>
          <w:rFonts w:ascii="Times New Roman" w:hAnsi="Times New Roman"/>
          <w:sz w:val="20"/>
        </w:rPr>
        <w:t xml:space="preserve">Indicate by check mark if the registrant is submitting the Form 6-K in paper as permitted by Regulation S-T Rule 101(b)(1):  ☐ </w:t>
      </w:r>
    </w:p>
    <w:p>
      <w:pPr>
        <w:pStyle w:val="TextBody"/>
        <w:spacing w:before="240" w:after="0"/>
        <w:jc w:val="left"/>
        <w:rPr>
          <w:rFonts w:ascii="Times New Roman" w:hAnsi="Times New Roman"/>
          <w:sz w:val="20"/>
        </w:rPr>
      </w:pPr>
      <w:r>
        <w:rPr>
          <w:rFonts w:ascii="Times New Roman" w:hAnsi="Times New Roman"/>
          <w:sz w:val="20"/>
        </w:rPr>
        <w:t xml:space="preserve">Indicate by check mark if the registrant is submitting the Form 6-K in paper as permitted by Regulation S-T Rule 101(b)(7):  ☐ </w:t>
      </w:r>
    </w:p>
    <w:p>
      <w:pPr>
        <w:pStyle w:val="TextBody"/>
        <w:spacing w:before="240" w:after="0"/>
        <w:jc w:val="left"/>
        <w:rPr>
          <w:rFonts w:ascii="Times New Roman" w:hAnsi="Times New Roman"/>
          <w:sz w:val="20"/>
        </w:rPr>
      </w:pPr>
      <w:r>
        <w:rPr>
          <w:rFonts w:ascii="Times New Roman" w:hAnsi="Times New Roman"/>
          <w:sz w:val="20"/>
        </w:rPr>
        <w:t xml:space="preserve">Indicate by check mark whether by furnishing the information contained in this Form, the registrant is also thereby furnishing the information to the Commission pursuant to Rule 12g3-2(b) under the Securities Exchange Act of 1934. </w:t>
      </w:r>
    </w:p>
    <w:p>
      <w:pPr>
        <w:pStyle w:val="TextBody"/>
        <w:spacing w:before="240" w:after="0"/>
        <w:jc w:val="center"/>
        <w:rPr>
          <w:rFonts w:ascii="Times New Roman" w:hAnsi="Times New Roman"/>
          <w:sz w:val="20"/>
        </w:rPr>
      </w:pPr>
      <w:r>
        <w:rPr>
          <w:rFonts w:ascii="Times New Roman" w:hAnsi="Times New Roman"/>
          <w:sz w:val="20"/>
        </w:rPr>
        <w:t xml:space="preserve">Yes  ☐            No  ☒ </w:t>
      </w:r>
    </w:p>
    <w:p>
      <w:pPr>
        <w:pStyle w:val="TextBody"/>
        <w:spacing w:before="240" w:after="0"/>
        <w:jc w:val="left"/>
        <w:rPr>
          <w:rFonts w:ascii="Times New Roman" w:hAnsi="Times New Roman"/>
          <w:sz w:val="20"/>
        </w:rPr>
      </w:pPr>
      <w:r>
        <w:rPr>
          <w:rFonts w:ascii="Times New Roman" w:hAnsi="Times New Roman"/>
          <w:sz w:val="20"/>
        </w:rPr>
        <w:t xml:space="preserve">If Yes is marked, indicate below the file number assigned to the registrant in connection with Rule 12g3-2(b): N/A </w:t>
      </w:r>
    </w:p>
    <w:p>
      <w:pPr>
        <w:pStyle w:val="TextBody"/>
        <w:spacing w:before="0" w:after="0"/>
        <w:jc w:val="left"/>
        <w:rPr/>
      </w:pPr>
      <w:r>
        <w:rPr/>
        <w:t> </w:t>
      </w:r>
    </w:p>
    <w:p>
      <w:pPr>
        <w:pStyle w:val="TextBody"/>
        <w:pBdr>
          <w:bottom w:val="single" w:sz="2" w:space="1" w:color="000000"/>
        </w:pBdr>
        <w:spacing w:lineRule="atLeast" w:line="141" w:before="0" w:after="0"/>
        <w:jc w:val="left"/>
        <w:rPr/>
      </w:pPr>
      <w:r>
        <w:rPr/>
        <w:t> </w:t>
      </w:r>
    </w:p>
    <w:p>
      <w:pPr>
        <w:pStyle w:val="TextBody"/>
        <w:pBdr>
          <w:bottom w:val="single" w:sz="2" w:space="1" w:color="000000"/>
        </w:pBdr>
        <w:spacing w:lineRule="atLeast" w:line="141" w:before="0" w:after="40"/>
        <w:jc w:val="left"/>
        <w:rPr/>
      </w:pPr>
      <w:r>
        <w:rPr/>
        <w:t> </w:t>
      </w:r>
      <w:r>
        <w:br w:type="page"/>
      </w:r>
    </w:p>
    <w:p>
      <w:pPr>
        <w:pStyle w:val="HorizontalLine"/>
        <w:pBdr>
          <w:bottom w:val="double" w:sz="6" w:space="0" w:color="808080"/>
        </w:pBdr>
        <w:rPr/>
      </w:pPr>
      <w:r>
        <w:rPr/>
      </w:r>
    </w:p>
    <w:p>
      <w:pPr>
        <w:pStyle w:val="TextBody"/>
        <w:spacing w:before="0" w:after="0"/>
        <w:jc w:val="center"/>
        <w:rPr>
          <w:rFonts w:ascii="Times New Roman" w:hAnsi="Times New Roman"/>
          <w:sz w:val="20"/>
        </w:rPr>
      </w:pPr>
      <w:r>
        <w:rPr>
          <w:rFonts w:ascii="Times New Roman" w:hAnsi="Times New Roman"/>
          <w:sz w:val="20"/>
        </w:rPr>
        <w:t xml:space="preserve">TABLE OF CONTENTS </w:t>
      </w:r>
    </w:p>
    <w:p>
      <w:pPr>
        <w:pStyle w:val="TextBody"/>
        <w:spacing w:before="240" w:after="0"/>
        <w:jc w:val="left"/>
        <w:rPr/>
      </w:pPr>
      <w:r>
        <w:rPr>
          <w:rFonts w:ascii="Times New Roman" w:hAnsi="Times New Roman"/>
          <w:sz w:val="20"/>
        </w:rPr>
        <w:t xml:space="preserve">Exhibit 99.1  </w:t>
      </w:r>
      <w:hyperlink w:anchor="d439211dex991.htm">
        <w:r>
          <w:rPr>
            <w:rStyle w:val="InternetLink"/>
            <w:rFonts w:ascii="Times New Roman" w:hAnsi="Times New Roman"/>
            <w:sz w:val="20"/>
          </w:rPr>
          <w:t xml:space="preserve">Cango Inc. Announces New Share Repurchase Program </w:t>
        </w:r>
      </w:hyperlink>
    </w:p>
    <w:p>
      <w:pPr>
        <w:pStyle w:val="TextBody"/>
        <w:spacing w:before="0" w:after="0"/>
        <w:jc w:val="left"/>
        <w:rPr/>
      </w:pPr>
      <w:r>
        <w:rPr/>
        <w:t> </w:t>
      </w:r>
    </w:p>
    <w:p>
      <w:pPr>
        <w:pStyle w:val="TextBody"/>
        <w:spacing w:before="0" w:after="0"/>
        <w:jc w:val="center"/>
        <w:rPr>
          <w:rFonts w:ascii="Times New Roman" w:hAnsi="Times New Roman"/>
          <w:sz w:val="20"/>
        </w:rPr>
      </w:pPr>
      <w:r>
        <w:rPr>
          <w:rFonts w:ascii="Times New Roman" w:hAnsi="Times New Roman"/>
          <w:sz w:val="20"/>
        </w:rPr>
        <w:t xml:space="preserve">2 </w:t>
      </w:r>
      <w:r>
        <w:br w:type="page"/>
      </w:r>
    </w:p>
    <w:p>
      <w:pPr>
        <w:pStyle w:val="HorizontalLine"/>
        <w:pBdr>
          <w:bottom w:val="double" w:sz="6" w:space="0" w:color="808080"/>
        </w:pBdr>
        <w:rPr/>
      </w:pPr>
      <w:r>
        <w:rPr/>
      </w:r>
    </w:p>
    <w:p>
      <w:pPr>
        <w:pStyle w:val="TextBody"/>
        <w:spacing w:before="0" w:after="0"/>
        <w:jc w:val="center"/>
        <w:rPr>
          <w:rFonts w:ascii="Times New Roman" w:hAnsi="Times New Roman"/>
          <w:b/>
          <w:sz w:val="20"/>
        </w:rPr>
      </w:pPr>
      <w:r>
        <w:rPr>
          <w:rFonts w:ascii="Times New Roman" w:hAnsi="Times New Roman"/>
          <w:b/>
          <w:sz w:val="20"/>
        </w:rPr>
        <w:t xml:space="preserve">SIGNATURE </w:t>
      </w:r>
    </w:p>
    <w:p>
      <w:pPr>
        <w:pStyle w:val="TextBody"/>
        <w:spacing w:before="240" w:after="0"/>
        <w:jc w:val="left"/>
        <w:rPr>
          <w:rFonts w:ascii="Times New Roman" w:hAnsi="Times New Roman"/>
          <w:sz w:val="20"/>
        </w:rPr>
      </w:pPr>
      <w:r>
        <w:rPr>
          <w:rFonts w:ascii="Times New Roman" w:hAnsi="Times New Roman"/>
          <w:sz w:val="20"/>
        </w:rPr>
        <w:t xml:space="preserve">Pursuant to the requirements of the Securities Exchange Act of 1934, the registrant has duly caused this report to be signed on its behalf by the undersigned, thereunto duly authorized. </w:t>
      </w:r>
    </w:p>
    <w:p>
      <w:pPr>
        <w:pStyle w:val="TextBody"/>
        <w:spacing w:before="0" w:after="0"/>
        <w:jc w:val="left"/>
        <w:rPr/>
      </w:pPr>
      <w:r>
        <w:rPr/>
        <w:t> </w:t>
      </w:r>
    </w:p>
    <w:tbl>
      <w:tblPr>
        <w:tblW w:w="2000" w:type="pct"/>
        <w:jc w:val="right"/>
        <w:tblInd w:w="0" w:type="dxa"/>
        <w:tblCellMar>
          <w:top w:w="0" w:type="dxa"/>
          <w:left w:w="0" w:type="dxa"/>
          <w:bottom w:w="0" w:type="dxa"/>
          <w:right w:w="0" w:type="dxa"/>
        </w:tblCellMar>
      </w:tblPr>
      <w:tblGrid>
        <w:gridCol w:w="671"/>
        <w:gridCol w:w="60"/>
        <w:gridCol w:w="3351"/>
      </w:tblGrid>
      <w:tr>
        <w:trPr/>
        <w:tc>
          <w:tcPr>
            <w:tcW w:w="671" w:type="dxa"/>
            <w:tcBorders/>
            <w:shd w:fill="auto" w:val="clear"/>
            <w:vAlign w:val="center"/>
          </w:tcPr>
          <w:p>
            <w:pPr>
              <w:pStyle w:val="TableContents"/>
              <w:spacing w:before="0" w:after="283"/>
              <w:rPr>
                <w:sz w:val="4"/>
                <w:szCs w:val="4"/>
              </w:rPr>
            </w:pPr>
            <w:r>
              <w:rPr>
                <w:sz w:val="4"/>
                <w:szCs w:val="4"/>
              </w:rPr>
            </w:r>
          </w:p>
        </w:tc>
        <w:tc>
          <w:tcPr>
            <w:tcW w:w="60" w:type="dxa"/>
            <w:tcBorders/>
            <w:shd w:fill="auto" w:val="clear"/>
            <w:vAlign w:val="bottom"/>
          </w:tcPr>
          <w:p>
            <w:pPr>
              <w:pStyle w:val="TableContents"/>
              <w:spacing w:before="0" w:after="283"/>
              <w:rPr>
                <w:sz w:val="4"/>
                <w:szCs w:val="4"/>
              </w:rPr>
            </w:pPr>
            <w:r>
              <w:rPr>
                <w:sz w:val="4"/>
                <w:szCs w:val="4"/>
              </w:rPr>
            </w:r>
          </w:p>
        </w:tc>
        <w:tc>
          <w:tcPr>
            <w:tcW w:w="3351" w:type="dxa"/>
            <w:tcBorders/>
            <w:shd w:fill="auto" w:val="clear"/>
            <w:vAlign w:val="center"/>
          </w:tcPr>
          <w:p>
            <w:pPr>
              <w:pStyle w:val="TableContents"/>
              <w:spacing w:before="0" w:after="283"/>
              <w:rPr>
                <w:sz w:val="4"/>
                <w:szCs w:val="4"/>
              </w:rPr>
            </w:pPr>
            <w:r>
              <w:rPr>
                <w:sz w:val="4"/>
                <w:szCs w:val="4"/>
              </w:rPr>
            </w:r>
          </w:p>
        </w:tc>
      </w:tr>
      <w:tr>
        <w:trPr/>
        <w:tc>
          <w:tcPr>
            <w:tcW w:w="4082" w:type="dxa"/>
            <w:gridSpan w:val="3"/>
            <w:tcBorders/>
            <w:shd w:fill="auto" w:val="clear"/>
          </w:tcPr>
          <w:p>
            <w:pPr>
              <w:pStyle w:val="TableContents"/>
              <w:spacing w:before="0" w:after="283"/>
              <w:rPr/>
            </w:pPr>
            <w:r>
              <w:rPr/>
              <w:t>CANGO INC.</w:t>
            </w:r>
          </w:p>
        </w:tc>
      </w:tr>
      <w:tr>
        <w:trPr>
          <w:trHeight w:val="240" w:hRule="atLeast"/>
        </w:trPr>
        <w:tc>
          <w:tcPr>
            <w:tcW w:w="671" w:type="dxa"/>
            <w:tcBorders/>
            <w:shd w:fill="auto" w:val="clear"/>
            <w:vAlign w:val="center"/>
          </w:tcPr>
          <w:p>
            <w:pPr>
              <w:pStyle w:val="TableContents"/>
              <w:spacing w:before="0" w:after="283"/>
              <w:rPr>
                <w:sz w:val="4"/>
                <w:szCs w:val="4"/>
              </w:rPr>
            </w:pPr>
            <w:r>
              <w:rPr>
                <w:sz w:val="4"/>
                <w:szCs w:val="4"/>
              </w:rPr>
            </w:r>
          </w:p>
        </w:tc>
        <w:tc>
          <w:tcPr>
            <w:tcW w:w="3411" w:type="dxa"/>
            <w:gridSpan w:val="2"/>
            <w:tcBorders/>
            <w:shd w:fill="auto" w:val="clear"/>
            <w:vAlign w:val="center"/>
          </w:tcPr>
          <w:p>
            <w:pPr>
              <w:pStyle w:val="TableContents"/>
              <w:spacing w:before="0" w:after="283"/>
              <w:rPr>
                <w:sz w:val="4"/>
                <w:szCs w:val="4"/>
              </w:rPr>
            </w:pPr>
            <w:r>
              <w:rPr>
                <w:sz w:val="4"/>
                <w:szCs w:val="4"/>
              </w:rPr>
            </w:r>
          </w:p>
        </w:tc>
      </w:tr>
      <w:tr>
        <w:trPr/>
        <w:tc>
          <w:tcPr>
            <w:tcW w:w="671" w:type="dxa"/>
            <w:tcBorders/>
            <w:shd w:fill="auto" w:val="clear"/>
          </w:tcPr>
          <w:p>
            <w:pPr>
              <w:pStyle w:val="TableContents"/>
              <w:spacing w:before="0" w:after="283"/>
              <w:rPr/>
            </w:pPr>
            <w:r>
              <w:rPr/>
              <w:t>By:</w:t>
            </w:r>
          </w:p>
        </w:tc>
        <w:tc>
          <w:tcPr>
            <w:tcW w:w="60" w:type="dxa"/>
            <w:tcBorders/>
            <w:shd w:fill="auto" w:val="clear"/>
            <w:vAlign w:val="bottom"/>
          </w:tcPr>
          <w:p>
            <w:pPr>
              <w:pStyle w:val="TableContents"/>
              <w:spacing w:before="0" w:after="283"/>
              <w:rPr/>
            </w:pPr>
            <w:r>
              <w:rPr/>
              <w:t> </w:t>
            </w:r>
          </w:p>
        </w:tc>
        <w:tc>
          <w:tcPr>
            <w:tcW w:w="3351" w:type="dxa"/>
            <w:tcBorders/>
            <w:shd w:fill="auto" w:val="clear"/>
            <w:vAlign w:val="bottom"/>
          </w:tcPr>
          <w:p>
            <w:pPr>
              <w:pStyle w:val="TableContents"/>
              <w:pBdr>
                <w:bottom w:val="single" w:sz="2" w:space="1" w:color="000000"/>
              </w:pBdr>
              <w:spacing w:before="0" w:after="20"/>
              <w:rPr>
                <w:rFonts w:ascii="Times New Roman" w:hAnsi="Times New Roman"/>
                <w:sz w:val="20"/>
              </w:rPr>
            </w:pPr>
            <w:r>
              <w:rPr>
                <w:rFonts w:ascii="Times New Roman" w:hAnsi="Times New Roman"/>
                <w:sz w:val="20"/>
              </w:rPr>
              <w:t>/s/ Yongyi Zhang</w:t>
            </w:r>
          </w:p>
        </w:tc>
      </w:tr>
      <w:tr>
        <w:trPr/>
        <w:tc>
          <w:tcPr>
            <w:tcW w:w="671" w:type="dxa"/>
            <w:tcBorders/>
            <w:shd w:fill="auto" w:val="clear"/>
          </w:tcPr>
          <w:p>
            <w:pPr>
              <w:pStyle w:val="TableContents"/>
              <w:spacing w:before="0" w:after="283"/>
              <w:rPr/>
            </w:pPr>
            <w:r>
              <w:rPr/>
              <w:t>Name:</w:t>
            </w:r>
          </w:p>
        </w:tc>
        <w:tc>
          <w:tcPr>
            <w:tcW w:w="60" w:type="dxa"/>
            <w:tcBorders/>
            <w:shd w:fill="auto" w:val="clear"/>
            <w:vAlign w:val="bottom"/>
          </w:tcPr>
          <w:p>
            <w:pPr>
              <w:pStyle w:val="TableContents"/>
              <w:spacing w:before="0" w:after="283"/>
              <w:rPr/>
            </w:pPr>
            <w:r>
              <w:rPr/>
              <w:t> </w:t>
            </w:r>
          </w:p>
        </w:tc>
        <w:tc>
          <w:tcPr>
            <w:tcW w:w="3351" w:type="dxa"/>
            <w:tcBorders/>
            <w:shd w:fill="auto" w:val="clear"/>
            <w:vAlign w:val="bottom"/>
          </w:tcPr>
          <w:p>
            <w:pPr>
              <w:pStyle w:val="TableContents"/>
              <w:spacing w:before="0" w:after="283"/>
              <w:rPr/>
            </w:pPr>
            <w:r>
              <w:rPr/>
              <w:t>Yongyi Zhang</w:t>
            </w:r>
          </w:p>
        </w:tc>
      </w:tr>
      <w:tr>
        <w:trPr/>
        <w:tc>
          <w:tcPr>
            <w:tcW w:w="671" w:type="dxa"/>
            <w:tcBorders/>
            <w:shd w:fill="auto" w:val="clear"/>
          </w:tcPr>
          <w:p>
            <w:pPr>
              <w:pStyle w:val="TableContents"/>
              <w:spacing w:before="0" w:after="283"/>
              <w:rPr/>
            </w:pPr>
            <w:r>
              <w:rPr/>
              <w:t>Title:</w:t>
            </w:r>
          </w:p>
        </w:tc>
        <w:tc>
          <w:tcPr>
            <w:tcW w:w="60" w:type="dxa"/>
            <w:tcBorders/>
            <w:shd w:fill="auto" w:val="clear"/>
            <w:vAlign w:val="bottom"/>
          </w:tcPr>
          <w:p>
            <w:pPr>
              <w:pStyle w:val="TableContents"/>
              <w:spacing w:before="0" w:after="283"/>
              <w:rPr/>
            </w:pPr>
            <w:r>
              <w:rPr/>
              <w:t> </w:t>
            </w:r>
          </w:p>
        </w:tc>
        <w:tc>
          <w:tcPr>
            <w:tcW w:w="3351" w:type="dxa"/>
            <w:tcBorders/>
            <w:shd w:fill="auto" w:val="clear"/>
            <w:vAlign w:val="bottom"/>
          </w:tcPr>
          <w:p>
            <w:pPr>
              <w:pStyle w:val="TableContents"/>
              <w:spacing w:before="0" w:after="283"/>
              <w:rPr/>
            </w:pPr>
            <w:r>
              <w:rPr/>
              <w:t>Chief Financial Officer</w:t>
            </w:r>
          </w:p>
        </w:tc>
      </w:tr>
    </w:tbl>
    <w:p>
      <w:pPr>
        <w:pStyle w:val="TextBody"/>
        <w:spacing w:before="240" w:after="0"/>
        <w:jc w:val="left"/>
        <w:rPr>
          <w:rFonts w:ascii="Times New Roman" w:hAnsi="Times New Roman"/>
          <w:sz w:val="20"/>
        </w:rPr>
      </w:pPr>
      <w:r>
        <w:rPr>
          <w:rFonts w:ascii="Times New Roman" w:hAnsi="Times New Roman"/>
          <w:sz w:val="20"/>
        </w:rPr>
        <w:t xml:space="preserve">Date: April 24, 2023 </w:t>
      </w:r>
    </w:p>
    <w:p>
      <w:pPr>
        <w:pStyle w:val="TextBody"/>
        <w:spacing w:before="0" w:after="0"/>
        <w:jc w:val="left"/>
        <w:rPr/>
      </w:pPr>
      <w:r>
        <w:rPr/>
        <w:t> </w:t>
      </w:r>
    </w:p>
    <w:p>
      <w:pPr>
        <w:pStyle w:val="TextBody"/>
        <w:spacing w:before="0" w:after="0"/>
        <w:jc w:val="center"/>
        <w:rPr>
          <w:rFonts w:ascii="Times New Roman" w:hAnsi="Times New Roman"/>
          <w:sz w:val="20"/>
        </w:rPr>
      </w:pPr>
      <w:r>
        <w:rPr>
          <w:rFonts w:ascii="Times New Roman" w:hAnsi="Times New Roman"/>
          <w:sz w:val="20"/>
        </w:rPr>
        <w:t xml:space="preserve">3 </w:t>
      </w:r>
      <w:r>
        <w:br w:type="page"/>
      </w:r>
    </w:p>
    <w:p>
      <w:pPr>
        <w:pStyle w:val="TextBody"/>
        <w:spacing w:before="0" w:after="0"/>
        <w:jc w:val="right"/>
        <w:rPr>
          <w:rFonts w:ascii="Times New Roman" w:hAnsi="Times New Roman"/>
          <w:b/>
          <w:sz w:val="20"/>
        </w:rPr>
      </w:pPr>
      <w:bookmarkStart w:id="2" w:name="d439211dex991.htm"/>
      <w:bookmarkStart w:id="3" w:name="ksd439211dex991"/>
      <w:bookmarkEnd w:id="2"/>
      <w:bookmarkEnd w:id="3"/>
      <w:r>
        <w:rPr>
          <w:rFonts w:ascii="Times New Roman" w:hAnsi="Times New Roman"/>
          <w:b/>
          <w:sz w:val="20"/>
        </w:rPr>
        <w:t xml:space="preserve">Exhibit 99.1 </w:t>
      </w:r>
    </w:p>
    <w:p>
      <w:pPr>
        <w:pStyle w:val="TextBody"/>
        <w:spacing w:before="240" w:after="0"/>
        <w:jc w:val="center"/>
        <w:rPr>
          <w:rFonts w:ascii="Times New Roman" w:hAnsi="Times New Roman"/>
          <w:b/>
          <w:sz w:val="20"/>
        </w:rPr>
      </w:pPr>
      <w:r>
        <w:rPr>
          <w:rFonts w:ascii="Times New Roman" w:hAnsi="Times New Roman"/>
          <w:b/>
          <w:sz w:val="20"/>
        </w:rPr>
        <w:t xml:space="preserve">Cango Inc. Announces New Share Repurchase Program </w:t>
      </w:r>
    </w:p>
    <w:p>
      <w:pPr>
        <w:pStyle w:val="TextBody"/>
        <w:spacing w:before="240" w:after="0"/>
        <w:jc w:val="left"/>
        <w:rPr>
          <w:rFonts w:ascii="Times New Roman" w:hAnsi="Times New Roman"/>
          <w:sz w:val="20"/>
        </w:rPr>
      </w:pPr>
      <w:r>
        <w:rPr>
          <w:rFonts w:ascii="Times New Roman" w:hAnsi="Times New Roman"/>
          <w:sz w:val="20"/>
        </w:rPr>
        <w:t xml:space="preserve">SHANGHAI, April 21, 2023 /PRNewswire/  Cango Inc. (NYSE: CANG) (Cango or the Company), a leading automotive transaction service platform in China, today announced that its board of directors has authorized a new share repurchase program (the New Share Repurchase Program) under which the Company may repurchase up to US$50 million worth of its outstanding (i) American depositary shares (ADSs), each representing two Class A ordinary shares, and/or (ii) Class A ordinary shares over the next 12 months starting from April 25, 2023. </w:t>
      </w:r>
    </w:p>
    <w:p>
      <w:pPr>
        <w:pStyle w:val="TextBody"/>
        <w:spacing w:before="240" w:after="0"/>
        <w:jc w:val="left"/>
        <w:rPr>
          <w:rFonts w:ascii="Times New Roman" w:hAnsi="Times New Roman"/>
          <w:sz w:val="20"/>
        </w:rPr>
      </w:pPr>
      <w:r>
        <w:rPr>
          <w:rFonts w:ascii="Times New Roman" w:hAnsi="Times New Roman"/>
          <w:sz w:val="20"/>
        </w:rPr>
        <w:t xml:space="preserve">The Companys proposed repurchases may be made from time to time on the open market at prevailing market prices, in privately negotiated transactions, in block trades and/or through other legally permissible means, in accordance with applicable rules and regulations. The number of ADSs and/or Class A ordinary shares repurchased and the timing of repurchases will depend on a number of factors, including, but not limited to, price, trading volume and general market conditions, along with Cangos working capital requirements and general business conditions. The Companys board of directors will review the New Share Repurchase Program periodically, and may authorize adjustment of its terms and size. The Company plans to fund the repurchases from its existing cash balance. </w:t>
      </w:r>
    </w:p>
    <w:p>
      <w:pPr>
        <w:pStyle w:val="TextBody"/>
        <w:spacing w:before="240" w:after="0"/>
        <w:jc w:val="left"/>
        <w:rPr>
          <w:rFonts w:ascii="Times New Roman" w:hAnsi="Times New Roman"/>
          <w:sz w:val="20"/>
        </w:rPr>
      </w:pPr>
      <w:r>
        <w:rPr>
          <w:rFonts w:ascii="Times New Roman" w:hAnsi="Times New Roman"/>
          <w:sz w:val="20"/>
        </w:rPr>
        <w:t xml:space="preserve">On April 22, 2022, the Company announced a share repurchase program (the Existing Share Repurchase Program) under which the Company may repurchase up to US$50 million worth of its outstanding ADSs and/or Class A ordinary shares. Pursuant to the Existing Share Repurchase Program, the Company had repurchased 2,794,557 ADSs from the open market with cash in the aggregate amount of approximately US$5.7 million up to April 17, 2023. For avoidance of doubt, the Existing Share Repurchase Program will remain in effect until its expiration on April 25, 2023. </w:t>
      </w:r>
    </w:p>
    <w:p>
      <w:pPr>
        <w:pStyle w:val="TextBody"/>
        <w:spacing w:before="360" w:after="0"/>
        <w:jc w:val="left"/>
        <w:rPr>
          <w:rFonts w:ascii="Times New Roman" w:hAnsi="Times New Roman"/>
          <w:b/>
          <w:sz w:val="20"/>
        </w:rPr>
      </w:pPr>
      <w:r>
        <w:rPr>
          <w:rFonts w:ascii="Times New Roman" w:hAnsi="Times New Roman"/>
          <w:b/>
          <w:sz w:val="20"/>
        </w:rPr>
        <w:t xml:space="preserve">About Cango Inc. </w:t>
      </w:r>
    </w:p>
    <w:p>
      <w:pPr>
        <w:pStyle w:val="TextBody"/>
        <w:spacing w:before="120" w:after="0"/>
        <w:jc w:val="left"/>
        <w:rPr>
          <w:rFonts w:ascii="Times New Roman" w:hAnsi="Times New Roman"/>
          <w:sz w:val="20"/>
        </w:rPr>
      </w:pPr>
      <w:r>
        <w:rPr>
          <w:rFonts w:ascii="Times New Roman" w:hAnsi="Times New Roman"/>
          <w:sz w:val="20"/>
        </w:rPr>
        <w:t xml:space="preserve">Cango Inc. (NYSE: CANG) is a leading automotive transaction service platform in China connecting car buyers, dealers, financial institutions, and other industry participants. Founded in 2010 by a group of pioneers in Chinas automotive finance industry, the Company is headquartered in Shanghai and has a nationwide network. Leveraging its competitive advantages in technological innovation and big data, Cango has established an automotive supply chain ecosystem, and developed a matrix of products centering on customer needs for auto transactions, auto financing and after-market services. By working with platform participants, Cango endeavors to make car purchases simple and enjoyable, and make itself customers car purchase service platform of choice. For more information, please visit: www.cangoonline.com. </w:t>
      </w:r>
    </w:p>
    <w:p>
      <w:pPr>
        <w:pStyle w:val="TextBody"/>
        <w:spacing w:before="360" w:after="0"/>
        <w:jc w:val="left"/>
        <w:rPr>
          <w:rFonts w:ascii="Times New Roman" w:hAnsi="Times New Roman"/>
          <w:b/>
          <w:sz w:val="20"/>
        </w:rPr>
      </w:pPr>
      <w:r>
        <w:rPr>
          <w:rFonts w:ascii="Times New Roman" w:hAnsi="Times New Roman"/>
          <w:b/>
          <w:sz w:val="20"/>
        </w:rPr>
        <w:t xml:space="preserve">Safe Harbor Statement </w:t>
      </w:r>
    </w:p>
    <w:p>
      <w:pPr>
        <w:pStyle w:val="TextBody"/>
        <w:spacing w:before="120" w:after="0"/>
        <w:jc w:val="left"/>
        <w:rPr>
          <w:rFonts w:ascii="Times New Roman" w:hAnsi="Times New Roman"/>
          <w:sz w:val="20"/>
        </w:rPr>
      </w:pPr>
      <w:r>
        <w:rPr>
          <w:rFonts w:ascii="Times New Roman" w:hAnsi="Times New Roman"/>
          <w:sz w:val="20"/>
        </w:rPr>
        <w:t xml:space="preserve">This announcement contains forward-looking statements. These statements are made under the safe harbor provisions of the United States Private Securities Litigation Reform Act of 1995. These forward-looking statements can be identified by terminology such as will, expects, anticipates, future, intends, plans, believes, estimates and similar statements. Among other things, the Business Outlook section and quotations from management in this announcement, contain forward-looking statements. Cango may also make written or oral forward-looking statements in its periodic reports to the SEC, in its annual report to shareholders, in press releases and other written materials and in oral statements made by its officers, directors or employees to third parties. Statements that are not historical facts, including statements about Cangos beliefs and expectations, are forward-looking statements. Forward-looking statements involve inherent risks and uncertainties. A number of factors could cause actual results to differ materially from those contained in any forward-looking statement, including but not limited to the following: Cangos goal and strategies; Cangos expansion plans; Cangos future business development, financial condition and results of operations; Cangos expectations regarding demand for, and market acceptance of, its solutions and services; Cangos expectations regarding keeping and strengthening its relationships with dealers, financial institutions, car buyers and other platform participants; general economic and business conditions; and assumptions underlying or related to any of the foregoing. Further information regarding these and other risks is included in Cangos filings with the SEC. All information provided in this press release and in the attachments is as of the date of this press release, and Cango does not undertake any obligation to update any forward-looking statement, except as required under applicable law. </w:t>
      </w:r>
      <w:r>
        <w:br w:type="page"/>
      </w:r>
    </w:p>
    <w:p>
      <w:pPr>
        <w:pStyle w:val="HorizontalLine"/>
        <w:pBdr>
          <w:bottom w:val="double" w:sz="6" w:space="0" w:color="808080"/>
        </w:pBdr>
        <w:rPr/>
      </w:pPr>
      <w:r>
        <w:rPr/>
      </w:r>
    </w:p>
    <w:p>
      <w:pPr>
        <w:pStyle w:val="TextBody"/>
        <w:spacing w:before="0" w:after="0"/>
        <w:jc w:val="left"/>
        <w:rPr>
          <w:rFonts w:ascii="Times New Roman" w:hAnsi="Times New Roman"/>
          <w:b/>
          <w:sz w:val="20"/>
        </w:rPr>
      </w:pPr>
      <w:r>
        <w:rPr>
          <w:rFonts w:ascii="Times New Roman" w:hAnsi="Times New Roman"/>
          <w:b/>
          <w:sz w:val="20"/>
        </w:rPr>
        <w:t xml:space="preserve">Investor Relations Contact </w:t>
      </w:r>
    </w:p>
    <w:p>
      <w:pPr>
        <w:pStyle w:val="TextBody"/>
        <w:spacing w:before="120" w:after="0"/>
        <w:jc w:val="left"/>
        <w:rPr>
          <w:rFonts w:ascii="Times New Roman" w:hAnsi="Times New Roman"/>
          <w:sz w:val="20"/>
        </w:rPr>
      </w:pPr>
      <w:r>
        <w:rPr>
          <w:rFonts w:ascii="Times New Roman" w:hAnsi="Times New Roman"/>
          <w:sz w:val="20"/>
        </w:rPr>
        <w:t xml:space="preserve">Yihe Liu </w:t>
      </w:r>
    </w:p>
    <w:p>
      <w:pPr>
        <w:pStyle w:val="TextBody"/>
        <w:spacing w:before="0" w:after="0"/>
        <w:jc w:val="left"/>
        <w:rPr>
          <w:rFonts w:ascii="Times New Roman" w:hAnsi="Times New Roman"/>
          <w:sz w:val="20"/>
        </w:rPr>
      </w:pPr>
      <w:r>
        <w:rPr>
          <w:rFonts w:ascii="Times New Roman" w:hAnsi="Times New Roman"/>
          <w:sz w:val="20"/>
        </w:rPr>
        <w:t xml:space="preserve">Cango Inc. </w:t>
      </w:r>
    </w:p>
    <w:p>
      <w:pPr>
        <w:pStyle w:val="TextBody"/>
        <w:spacing w:before="0" w:after="0"/>
        <w:jc w:val="left"/>
        <w:rPr>
          <w:rFonts w:ascii="Times New Roman" w:hAnsi="Times New Roman"/>
          <w:sz w:val="20"/>
        </w:rPr>
      </w:pPr>
      <w:r>
        <w:rPr>
          <w:rFonts w:ascii="Times New Roman" w:hAnsi="Times New Roman"/>
          <w:sz w:val="20"/>
        </w:rPr>
        <w:t xml:space="preserve">Tel: +86 21 3183 5088 ext.5581 </w:t>
      </w:r>
    </w:p>
    <w:p>
      <w:pPr>
        <w:pStyle w:val="TextBody"/>
        <w:spacing w:before="0" w:after="0"/>
        <w:jc w:val="left"/>
        <w:rPr>
          <w:rFonts w:ascii="Times New Roman" w:hAnsi="Times New Roman"/>
          <w:sz w:val="20"/>
        </w:rPr>
      </w:pPr>
      <w:r>
        <w:rPr>
          <w:rFonts w:ascii="Times New Roman" w:hAnsi="Times New Roman"/>
          <w:sz w:val="20"/>
        </w:rPr>
        <w:t xml:space="preserve">Email: ir@cangoonline.com </w:t>
      </w:r>
    </w:p>
    <w:p>
      <w:pPr>
        <w:pStyle w:val="TextBody"/>
        <w:spacing w:before="0" w:after="0"/>
        <w:jc w:val="left"/>
        <w:rPr>
          <w:rFonts w:ascii="Times New Roman" w:hAnsi="Times New Roman"/>
          <w:sz w:val="20"/>
        </w:rPr>
      </w:pPr>
      <w:r>
        <w:rPr>
          <w:rFonts w:ascii="Times New Roman" w:hAnsi="Times New Roman"/>
          <w:sz w:val="20"/>
        </w:rPr>
        <w:t>Twitter: </w:t>
      </w:r>
      <w:r>
        <w:rPr>
          <w:rFonts w:ascii="Times New Roman" w:hAnsi="Times New Roman"/>
          <w:sz w:val="20"/>
          <w:u w:val="single"/>
        </w:rPr>
        <w:t>https://twitter.com/Cango_Group</w:t>
      </w:r>
      <w:r>
        <w:rPr>
          <w:rFonts w:ascii="Times New Roman" w:hAnsi="Times New Roman"/>
          <w:sz w:val="20"/>
        </w:rPr>
        <w:t xml:space="preserve"> </w:t>
      </w:r>
    </w:p>
    <w:p>
      <w:pPr>
        <w:pStyle w:val="TextBody"/>
        <w:spacing w:before="240" w:after="0"/>
        <w:jc w:val="left"/>
        <w:rPr>
          <w:rFonts w:ascii="Times New Roman" w:hAnsi="Times New Roman"/>
          <w:sz w:val="20"/>
        </w:rPr>
      </w:pPr>
      <w:r>
        <w:rPr>
          <w:rFonts w:ascii="Times New Roman" w:hAnsi="Times New Roman"/>
          <w:sz w:val="20"/>
        </w:rPr>
        <w:t xml:space="preserve">Helen Wu </w:t>
      </w:r>
    </w:p>
    <w:p>
      <w:pPr>
        <w:pStyle w:val="TextBody"/>
        <w:spacing w:before="0" w:after="0"/>
        <w:jc w:val="left"/>
        <w:rPr>
          <w:rFonts w:ascii="Times New Roman" w:hAnsi="Times New Roman"/>
          <w:sz w:val="20"/>
        </w:rPr>
      </w:pPr>
      <w:r>
        <w:rPr>
          <w:rFonts w:ascii="Times New Roman" w:hAnsi="Times New Roman"/>
          <w:sz w:val="20"/>
        </w:rPr>
        <w:t xml:space="preserve">Piacente Financial Communications </w:t>
      </w:r>
    </w:p>
    <w:p>
      <w:pPr>
        <w:pStyle w:val="TextBody"/>
        <w:spacing w:before="0" w:after="0"/>
        <w:jc w:val="left"/>
        <w:rPr>
          <w:rFonts w:ascii="Times New Roman" w:hAnsi="Times New Roman"/>
          <w:sz w:val="20"/>
        </w:rPr>
      </w:pPr>
      <w:r>
        <w:rPr>
          <w:rFonts w:ascii="Times New Roman" w:hAnsi="Times New Roman"/>
          <w:sz w:val="20"/>
        </w:rPr>
        <w:t xml:space="preserve">Tel: +86 10 6508 0677 </w:t>
      </w:r>
    </w:p>
    <w:p>
      <w:pPr>
        <w:pStyle w:val="TextBody"/>
        <w:spacing w:before="0" w:after="0"/>
        <w:jc w:val="left"/>
        <w:rPr>
          <w:rFonts w:ascii="Times New Roman" w:hAnsi="Times New Roman"/>
          <w:sz w:val="20"/>
        </w:rPr>
      </w:pPr>
      <w:r>
        <w:rPr>
          <w:rFonts w:ascii="Times New Roman" w:hAnsi="Times New Roman"/>
          <w:sz w:val="20"/>
        </w:rPr>
        <w:t xml:space="preserve">Email: ir@cangoonline.com </w:t>
      </w:r>
    </w:p>
    <w:sectPr>
      <w:type w:val="nextPage"/>
      <w:pgSz w:w="11906" w:h="16838"/>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auto"/>
    <w:pitch w:val="variable"/>
  </w:font>
  <w:font w:name="Liberation Sans">
    <w:altName w:val="Arial"/>
    <w:charset w:val="00"/>
    <w:family w:val="swiss"/>
    <w:pitch w:val="variable"/>
  </w:font>
  <w:font w:name="Times New Roman">
    <w:charset w:val="00"/>
    <w:family w:val="auto"/>
    <w:pitch w:val="default"/>
  </w:font>
</w:fonts>
</file>

<file path=word/settings.xml><?xml version="1.0" encoding="utf-8"?>
<w:settings xmlns:w="http://schemas.openxmlformats.org/wordprocessingml/2006/main">
  <w:zoom w:percent="100"/>
  <w:defaultTabStop w:val="1134"/>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Sharp" w:cs="DejaVu Sans"/>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WenQuanYi Zen Hei Sharp" w:cs="DejaVu Sans"/>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TextBody">
    <w:name w:val="Body Text"/>
    <w:basedOn w:val="Normal"/>
    <w:pPr>
      <w:spacing w:before="0" w:after="283"/>
    </w:pPr>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List">
    <w:name w:val="List"/>
    <w:basedOn w:val="TextBody"/>
    <w:pPr/>
    <w:rPr>
      <w:rFonts w:cs="DejaVu Sans"/>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LibreOffice/6.2.2.2$Linux_X86_64 LibreOffice_project/2b840030fec2aae0fd2658d8d4f9548af4e3518d</Application>
  <Pages>6</Pages>
  <Words>1034</Words>
  <CharactersWithSpaces>6612</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EX-99.1</dc:title>
</cp:coreProperties>
</file>